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宋体" w:hAnsi="宋体" w:eastAsia="宋体"/>
          <w:b/>
          <w:bCs/>
          <w:sz w:val="44"/>
          <w:lang w:val="en-US" w:eastAsia="zh-CN"/>
        </w:rPr>
      </w:pPr>
      <w:bookmarkStart w:id="0" w:name="bt"/>
      <w:r>
        <w:rPr>
          <w:rFonts w:hint="eastAsia" w:ascii="宋体" w:hAnsi="宋体"/>
          <w:b/>
          <w:bCs/>
          <w:sz w:val="44"/>
          <w:lang w:val="en-US" w:eastAsia="zh-CN"/>
        </w:rPr>
        <w:t>对市政协第十四届四次会议</w:t>
      </w:r>
      <w:r>
        <w:rPr>
          <w:rFonts w:hint="eastAsia" w:ascii="宋体" w:hAnsi="宋体"/>
          <w:b/>
          <w:bCs/>
          <w:sz w:val="44"/>
          <w:lang w:val="en-US" w:eastAsia="zh-CN"/>
        </w:rPr>
        <w:br w:type="textWrapping"/>
      </w:r>
      <w:r>
        <w:rPr>
          <w:rFonts w:hint="eastAsia" w:ascii="宋体" w:hAnsi="宋体"/>
          <w:b/>
          <w:bCs/>
          <w:sz w:val="44"/>
          <w:lang w:val="en-US" w:eastAsia="zh-CN"/>
        </w:rPr>
        <w:t>第0175号提案的落实</w:t>
      </w:r>
      <w:bookmarkEnd w:id="0"/>
      <w:r>
        <w:rPr>
          <w:rFonts w:hint="eastAsia" w:ascii="宋体" w:hAnsi="宋体"/>
          <w:b/>
          <w:bCs/>
          <w:sz w:val="44"/>
          <w:lang w:val="en-US" w:eastAsia="zh-CN"/>
        </w:rPr>
        <w:t>答复</w:t>
      </w:r>
    </w:p>
    <w:p>
      <w:pPr>
        <w:keepNext w:val="0"/>
        <w:keepLines w:val="0"/>
        <w:pageBreakBefore w:val="0"/>
        <w:widowControl w:val="0"/>
        <w:kinsoku/>
        <w:wordWrap/>
        <w:overflowPunct/>
        <w:topLinePunct w:val="0"/>
        <w:autoSpaceDE/>
        <w:autoSpaceDN/>
        <w:bidi w:val="0"/>
        <w:adjustRightInd w:val="0"/>
        <w:snapToGrid w:val="0"/>
        <w:spacing w:line="540" w:lineRule="exact"/>
        <w:ind w:right="0" w:rightChars="0"/>
        <w:textAlignment w:val="auto"/>
        <w:rPr>
          <w:rFonts w:eastAsia="仿宋_GB2312"/>
          <w:sz w:val="32"/>
        </w:rPr>
      </w:pPr>
      <w:bookmarkStart w:id="1" w:name="chenghu"/>
      <w:bookmarkEnd w:id="1"/>
      <w:r>
        <w:rPr>
          <w:rFonts w:hint="eastAsia" w:ascii="仿宋_GB2312" w:eastAsia="仿宋_GB2312"/>
          <w:sz w:val="32"/>
        </w:rPr>
        <w:t>中国农工民主党天津市委员会</w:t>
      </w:r>
      <w:r>
        <w:rPr>
          <w:rFonts w:eastAsia="仿宋_GB2312"/>
          <w:sz w:val="32"/>
        </w:rPr>
        <w:t>：</w:t>
      </w:r>
    </w:p>
    <w:p>
      <w:pPr>
        <w:keepNext w:val="0"/>
        <w:keepLines w:val="0"/>
        <w:pageBreakBefore w:val="0"/>
        <w:widowControl w:val="0"/>
        <w:kinsoku/>
        <w:wordWrap/>
        <w:overflowPunct/>
        <w:topLinePunct w:val="0"/>
        <w:autoSpaceDE/>
        <w:autoSpaceDN/>
        <w:bidi w:val="0"/>
        <w:adjustRightInd w:val="0"/>
        <w:snapToGrid w:val="0"/>
        <w:spacing w:line="540" w:lineRule="exact"/>
        <w:ind w:right="0" w:rightChars="0"/>
        <w:textAlignment w:val="auto"/>
        <w:rPr>
          <w:rFonts w:eastAsia="仿宋_GB2312"/>
          <w:sz w:val="32"/>
        </w:rPr>
      </w:pPr>
      <w:r>
        <w:rPr>
          <w:rFonts w:eastAsia="仿宋_GB2312"/>
          <w:sz w:val="32"/>
          <w:szCs w:val="18"/>
        </w:rPr>
        <w:t>　　</w:t>
      </w:r>
      <w:bookmarkStart w:id="2" w:name="shuo"/>
      <w:r>
        <w:rPr>
          <w:rFonts w:hint="eastAsia" w:eastAsia="仿宋_GB2312"/>
          <w:sz w:val="32"/>
          <w:szCs w:val="18"/>
          <w:lang w:val="en-US" w:eastAsia="zh-CN"/>
        </w:rPr>
        <w:t>贵党派提出的“关于进一步加大科技研发经费投入和管理的提案”，经会同市发展改革委、市税务局、市财政局、市工业和信息化局、市教委研究答复如下</w:t>
      </w:r>
      <w:bookmarkEnd w:id="2"/>
      <w:r>
        <w:rPr>
          <w:rFonts w:eastAsia="仿宋_GB2312"/>
          <w:sz w:val="32"/>
          <w:szCs w:val="18"/>
        </w:rPr>
        <w:t>：</w:t>
      </w:r>
    </w:p>
    <w:p>
      <w:pPr>
        <w:keepNext w:val="0"/>
        <w:keepLines w:val="0"/>
        <w:pageBreakBefore w:val="0"/>
        <w:widowControl w:val="0"/>
        <w:kinsoku/>
        <w:wordWrap/>
        <w:overflowPunct/>
        <w:topLinePunct w:val="0"/>
        <w:autoSpaceDE/>
        <w:autoSpaceDN/>
        <w:bidi w:val="0"/>
        <w:adjustRightInd w:val="0"/>
        <w:snapToGrid w:val="0"/>
        <w:spacing w:line="540" w:lineRule="exact"/>
        <w:ind w:left="0" w:leftChars="0" w:right="0" w:rightChars="0" w:firstLine="640" w:firstLineChars="200"/>
        <w:textAlignment w:val="auto"/>
        <w:rPr>
          <w:rFonts w:hint="eastAsia" w:ascii="黑体" w:hAnsi="黑体" w:eastAsia="黑体" w:cs="黑体"/>
          <w:sz w:val="32"/>
          <w:lang w:val="en-US" w:eastAsia="zh-CN"/>
        </w:rPr>
      </w:pPr>
      <w:r>
        <w:rPr>
          <w:rFonts w:hint="eastAsia" w:ascii="黑体" w:hAnsi="黑体" w:eastAsia="黑体" w:cs="黑体"/>
          <w:sz w:val="32"/>
          <w:lang w:val="en-US" w:eastAsia="zh-CN"/>
        </w:rPr>
        <w:t>一、多措并举，引导全社会加大研发投入效果显著</w:t>
      </w:r>
    </w:p>
    <w:p>
      <w:pPr>
        <w:keepNext w:val="0"/>
        <w:keepLines w:val="0"/>
        <w:pageBreakBefore w:val="0"/>
        <w:widowControl w:val="0"/>
        <w:kinsoku/>
        <w:wordWrap/>
        <w:overflowPunct/>
        <w:topLinePunct w:val="0"/>
        <w:autoSpaceDE/>
        <w:autoSpaceDN/>
        <w:bidi w:val="0"/>
        <w:adjustRightInd w:val="0"/>
        <w:snapToGrid w:val="0"/>
        <w:spacing w:line="54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一是我市R&amp;D支出占GDP比重连续三年实现正增长，近期国家统计局内部反馈我市2020年研发投入经费同比增长约22亿元，R&amp;D支出占GDP比重较2019年有大幅增长。二是将“R&amp;D支出占GDP比重”指标纳入全市高质量绩效考核核心指标之一，且是绩效考核所有指标中权重（5.5%）最高的指标。三是印发《天津市科技创新“十四五”规划》（津政办发〔2021〕32号），明确“强化企业创新主体地位”、“鼓励企业加大研发投入”。四是税务部门积极服务企业享受研发加计扣除政策，近三年享受政策的企业数量和金额大幅增长，其中，2020年度享受研发费用加计扣除优惠的企业数量约9200户，比上年增长约21.8%，加计扣除额合计262.77亿元，比上年增长约18%。</w:t>
      </w:r>
    </w:p>
    <w:p>
      <w:pPr>
        <w:keepNext w:val="0"/>
        <w:keepLines w:val="0"/>
        <w:pageBreakBefore w:val="0"/>
        <w:widowControl w:val="0"/>
        <w:kinsoku/>
        <w:wordWrap/>
        <w:overflowPunct/>
        <w:topLinePunct w:val="0"/>
        <w:autoSpaceDE/>
        <w:autoSpaceDN/>
        <w:bidi w:val="0"/>
        <w:adjustRightInd w:val="0"/>
        <w:snapToGrid w:val="0"/>
        <w:spacing w:line="540" w:lineRule="exact"/>
        <w:ind w:left="0" w:leftChars="0" w:right="0" w:rightChars="0" w:firstLine="640" w:firstLineChars="200"/>
        <w:textAlignment w:val="auto"/>
        <w:rPr>
          <w:rFonts w:hint="eastAsia" w:ascii="黑体" w:hAnsi="黑体" w:eastAsia="黑体" w:cs="黑体"/>
          <w:sz w:val="32"/>
          <w:lang w:val="en-US" w:eastAsia="zh-CN"/>
        </w:rPr>
      </w:pPr>
      <w:r>
        <w:rPr>
          <w:rFonts w:hint="eastAsia" w:ascii="黑体" w:hAnsi="黑体" w:eastAsia="黑体" w:cs="黑体"/>
          <w:sz w:val="32"/>
          <w:lang w:val="en-US" w:eastAsia="zh-CN"/>
        </w:rPr>
        <w:t>二、不断完善政策体系，引导企业加大研发投入</w:t>
      </w:r>
    </w:p>
    <w:p>
      <w:pPr>
        <w:keepNext w:val="0"/>
        <w:keepLines w:val="0"/>
        <w:pageBreakBefore w:val="0"/>
        <w:widowControl w:val="0"/>
        <w:kinsoku/>
        <w:wordWrap/>
        <w:overflowPunct/>
        <w:topLinePunct w:val="0"/>
        <w:autoSpaceDE/>
        <w:autoSpaceDN/>
        <w:bidi w:val="0"/>
        <w:adjustRightInd w:val="0"/>
        <w:snapToGrid w:val="0"/>
        <w:spacing w:line="54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经过深入调研、广泛征求意见，8月31日市科技局、市财政局、市税务局正式印发出台《天津市企业研发投入后补助办法》（津科规〔2021〕4号）。一是强化绩效择优补助。将以往“符合条件申报均给予补助支持”的普惠性政策变为“择优支持”，确保财政资金使用更加聚焦。二是突出“科技”属性。与现有创新型企业培育政策衔接，加大对重点企业的支持力度，对于首次认定高新技术企业、“雏鹰”企业补助比例由原来的2.5%提高至5%，“独角兽”企业、科技领军企业、“瞪羚”企业补助比例由原来的1.5%提高至2.5%。三是着力育“苗”护“苗”。充分考虑初创期科技型企业的特点，将通过评价的“雏鹰”企业直接纳入补助范围，同时按照规上企业和规下企业分类考核，使中小型企业充分享受补助政策。自2018年实施研发投入后补助政策以来，我市已累计向5899家企业发放后补助资金8.2亿元，补助企业数量和补助金额逐年增加，约77%的企业研发投入实现增长（其中约25%的企业增长超过50%），有效激发企业不断加大科技创新投入的积极性，加快推动我市高质量发展。</w:t>
      </w:r>
    </w:p>
    <w:p>
      <w:pPr>
        <w:keepNext w:val="0"/>
        <w:keepLines w:val="0"/>
        <w:pageBreakBefore w:val="0"/>
        <w:widowControl w:val="0"/>
        <w:kinsoku/>
        <w:wordWrap/>
        <w:overflowPunct/>
        <w:topLinePunct w:val="0"/>
        <w:autoSpaceDE/>
        <w:autoSpaceDN/>
        <w:bidi w:val="0"/>
        <w:adjustRightInd w:val="0"/>
        <w:snapToGrid w:val="0"/>
        <w:spacing w:line="540" w:lineRule="exact"/>
        <w:ind w:left="0" w:leftChars="0" w:right="0" w:rightChars="0" w:firstLine="640" w:firstLineChars="200"/>
        <w:textAlignment w:val="auto"/>
        <w:rPr>
          <w:rFonts w:hint="eastAsia" w:ascii="黑体" w:hAnsi="黑体" w:eastAsia="黑体" w:cs="黑体"/>
          <w:sz w:val="32"/>
          <w:lang w:val="en-US" w:eastAsia="zh-CN"/>
        </w:rPr>
      </w:pPr>
      <w:r>
        <w:rPr>
          <w:rFonts w:hint="eastAsia" w:ascii="黑体" w:hAnsi="黑体" w:eastAsia="黑体" w:cs="黑体"/>
          <w:sz w:val="32"/>
          <w:lang w:val="en-US" w:eastAsia="zh-CN"/>
        </w:rPr>
        <w:t>三、加大我市基础研究投入</w:t>
      </w:r>
    </w:p>
    <w:p>
      <w:pPr>
        <w:keepNext w:val="0"/>
        <w:keepLines w:val="0"/>
        <w:pageBreakBefore w:val="0"/>
        <w:widowControl w:val="0"/>
        <w:kinsoku/>
        <w:wordWrap/>
        <w:overflowPunct/>
        <w:topLinePunct w:val="0"/>
        <w:autoSpaceDE/>
        <w:autoSpaceDN/>
        <w:bidi w:val="0"/>
        <w:adjustRightInd w:val="0"/>
        <w:snapToGrid w:val="0"/>
        <w:spacing w:line="54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一是将“基础研究投入占研发投入比重”纳入全市绩效考核指标之一，同时我市科技创新“十四五”规划将“基础研究经费占R&amp;D投入的比重（%）”指标纳入规划主要目标任务，2025年达到全国平均水平8%。二是支持企业提升基础研究能力，落实智能制造专项政策，鼓励市级企业技术中心购置研发仪器设备，鼓励市级制造业创新中心新建和改造研发、试制和检测平台等，提升自身创新能力建设。三是推动南开大学、天津大学实施天津市自然科学基金自主立项试点工作，赋予高校更多科研管理自主权，由高校提供基础研究资金保障，自主发布指南、自主组织评审、自主验收评价。近两年共立项210项，市财政拨款1988万元，吸引大学出资2392万元。四是探索建立应用基础研究多元化投入基金，鼓励社会力量以联合出资、捐赠等多种途径增加应用基础研究投入，扩大资金投入总量，鼓励更多创新主体共同推动基础研究发展。五是重点支持重大项目及平台建设。支持“超级计算机研制”“国家合成生物技术创新中心”“大型地震工程模拟研究设施”等国家重大科技项目建设，打造天津版国之重器。</w:t>
      </w:r>
    </w:p>
    <w:p>
      <w:pPr>
        <w:keepNext w:val="0"/>
        <w:keepLines w:val="0"/>
        <w:pageBreakBefore w:val="0"/>
        <w:widowControl w:val="0"/>
        <w:kinsoku/>
        <w:wordWrap/>
        <w:overflowPunct/>
        <w:topLinePunct w:val="0"/>
        <w:autoSpaceDE/>
        <w:autoSpaceDN/>
        <w:bidi w:val="0"/>
        <w:adjustRightInd w:val="0"/>
        <w:snapToGrid w:val="0"/>
        <w:spacing w:line="540" w:lineRule="exact"/>
        <w:ind w:left="0" w:leftChars="0" w:right="0" w:rightChars="0" w:firstLine="640" w:firstLineChars="200"/>
        <w:textAlignment w:val="auto"/>
        <w:rPr>
          <w:rFonts w:hint="eastAsia" w:ascii="黑体" w:hAnsi="黑体" w:eastAsia="黑体" w:cs="黑体"/>
          <w:sz w:val="32"/>
          <w:lang w:val="en-US" w:eastAsia="zh-CN"/>
        </w:rPr>
      </w:pPr>
      <w:r>
        <w:rPr>
          <w:rFonts w:hint="eastAsia" w:ascii="黑体" w:hAnsi="黑体" w:eastAsia="黑体" w:cs="黑体"/>
          <w:sz w:val="32"/>
          <w:lang w:val="en-US" w:eastAsia="zh-CN"/>
        </w:rPr>
        <w:t>四、积极发挥政府资金的引导和杠杆作用，形成覆盖科技型企业成长全周期的金融服务体系</w:t>
      </w:r>
    </w:p>
    <w:p>
      <w:pPr>
        <w:keepNext w:val="0"/>
        <w:keepLines w:val="0"/>
        <w:pageBreakBefore w:val="0"/>
        <w:widowControl w:val="0"/>
        <w:kinsoku/>
        <w:wordWrap/>
        <w:overflowPunct/>
        <w:topLinePunct w:val="0"/>
        <w:autoSpaceDE/>
        <w:autoSpaceDN/>
        <w:bidi w:val="0"/>
        <w:adjustRightInd w:val="0"/>
        <w:snapToGrid w:val="0"/>
        <w:spacing w:line="54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一是天使、创投引导基金已对27支子基金完成出资8.83亿元，累计实缴43.72亿元，财政资金放大3.95倍，重点投向智能科技、新能源新材料、生物医药、新能源汽车、装备制造等新兴产业和领域。子基金累计投资科技型企业220家，投资总额31.67亿元，撬动投融资181.21亿元，财政资金二次放大20.53倍。二是建立高成长专项投资机制。2020年，我市印发了《关于建立高成长初创科技型企业专项投资扶持机制意见》和《天津市高成长初创型企业专项投资管理暂行办法》，建立了以“分担风险、让利退出”为特点扶持机制，新设立了专项投资资金，结合项目组织情况和投资进度，支持高成长初创科技型企业发展。截至目前，完成对首批12个初创项目6600万元的专项投资支持。</w:t>
      </w:r>
    </w:p>
    <w:p>
      <w:pPr>
        <w:keepNext w:val="0"/>
        <w:keepLines w:val="0"/>
        <w:pageBreakBefore w:val="0"/>
        <w:widowControl w:val="0"/>
        <w:kinsoku/>
        <w:wordWrap/>
        <w:overflowPunct/>
        <w:topLinePunct w:val="0"/>
        <w:autoSpaceDE/>
        <w:autoSpaceDN/>
        <w:bidi w:val="0"/>
        <w:adjustRightInd w:val="0"/>
        <w:snapToGrid w:val="0"/>
        <w:spacing w:line="540" w:lineRule="exact"/>
        <w:ind w:left="0" w:leftChars="0" w:right="0" w:rightChars="0" w:firstLine="640" w:firstLineChars="200"/>
        <w:textAlignment w:val="auto"/>
        <w:rPr>
          <w:rFonts w:hint="eastAsia" w:ascii="黑体" w:hAnsi="黑体" w:eastAsia="黑体" w:cs="黑体"/>
          <w:sz w:val="32"/>
          <w:lang w:val="en-US" w:eastAsia="zh-CN"/>
        </w:rPr>
      </w:pPr>
      <w:r>
        <w:rPr>
          <w:rFonts w:hint="eastAsia" w:ascii="黑体" w:hAnsi="黑体" w:eastAsia="黑体" w:cs="黑体"/>
          <w:sz w:val="32"/>
          <w:lang w:val="en-US" w:eastAsia="zh-CN"/>
        </w:rPr>
        <w:t>五、不断加大诚信建设宣贯力度，营造良好的营商环境</w:t>
      </w:r>
    </w:p>
    <w:p>
      <w:pPr>
        <w:keepNext w:val="0"/>
        <w:keepLines w:val="0"/>
        <w:pageBreakBefore w:val="0"/>
        <w:widowControl w:val="0"/>
        <w:kinsoku/>
        <w:wordWrap/>
        <w:overflowPunct/>
        <w:topLinePunct w:val="0"/>
        <w:autoSpaceDE/>
        <w:autoSpaceDN/>
        <w:bidi w:val="0"/>
        <w:adjustRightInd w:val="0"/>
        <w:snapToGrid w:val="0"/>
        <w:spacing w:line="54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一是积极贯彻落实《天津市人民政府印发关于优化科研管理提升科研绩效若干措施的通知》《天津市关于深化项目评审、人才评价、机构评估改革的实施方案》，为科研人员创造了良好的科研环境。二是市发展改革委积极开展“诚信建设万里行”系列宣传等活动，组织对科技计划项目相关责任主体开展信用分级分类监管；出台全国首个多部门压实科研诚信主体责任制度；探索完善基于信用状况的科技项目风险预警模块等。三是市税务局大力落实高新技术企业、研发费用加计扣除等税收优惠政策，编制《“大众创业 万众创新”税费优惠政策指引》《研发费用加计扣除政策操作指南》等，对科技型企业的法人和财务负责人推送政策要点短信。同时对全市高新技术企业和科技型中小企业实施网格化管理，分解至基层税务机关并要求逐户落实相关政策辅导工作，确保政策宣传辅导到位，营造良好的科技创新税收环境。</w:t>
      </w:r>
    </w:p>
    <w:p>
      <w:pPr>
        <w:keepNext w:val="0"/>
        <w:keepLines w:val="0"/>
        <w:pageBreakBefore w:val="0"/>
        <w:widowControl w:val="0"/>
        <w:kinsoku/>
        <w:wordWrap/>
        <w:overflowPunct/>
        <w:topLinePunct w:val="0"/>
        <w:autoSpaceDE/>
        <w:autoSpaceDN/>
        <w:bidi w:val="0"/>
        <w:adjustRightInd w:val="0"/>
        <w:snapToGrid w:val="0"/>
        <w:spacing w:line="54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再次感谢</w:t>
      </w:r>
      <w:r>
        <w:rPr>
          <w:rFonts w:hint="eastAsia" w:ascii="仿宋_GB2312" w:hAnsi="仿宋_GB2312" w:eastAsia="仿宋_GB2312" w:cs="仿宋_GB2312"/>
          <w:sz w:val="32"/>
          <w:szCs w:val="18"/>
        </w:rPr>
        <w:t>贵党派对科技工作的关心支持和提出的宝贵建议</w:t>
      </w:r>
      <w:r>
        <w:rPr>
          <w:rFonts w:hint="eastAsia" w:ascii="仿宋_GB2312" w:hAnsi="仿宋_GB2312" w:eastAsia="仿宋_GB2312" w:cs="仿宋_GB2312"/>
          <w:sz w:val="32"/>
          <w:szCs w:val="18"/>
          <w:lang w:eastAsia="zh-CN"/>
        </w:rPr>
        <w:t>。</w:t>
      </w:r>
      <w:r>
        <w:rPr>
          <w:rFonts w:hint="eastAsia" w:ascii="仿宋_GB2312" w:hAnsi="仿宋_GB2312" w:eastAsia="仿宋_GB2312" w:cs="仿宋_GB2312"/>
          <w:sz w:val="32"/>
          <w:lang w:val="en-US" w:eastAsia="zh-CN"/>
        </w:rPr>
        <w:t>下一步，认真贯彻落实国家和我市科技创新“十四五”规划的部署和要求，积极推动落实新动能引育和科技创新三年行动计划相关政策措施，启动实施企业研发投入后补助、研发费用加计扣除等研发投入相关优惠政策，进一步优化政策支持方向和实施方式，统筹财政科技资金，释放减税红利，充分发挥财政科技投入对科技创新发展的基础性、引领性作用，积极引导企业加大研发投入，助力我市高成长企业创新发展。</w:t>
      </w:r>
    </w:p>
    <w:p>
      <w:pPr>
        <w:keepNext w:val="0"/>
        <w:keepLines w:val="0"/>
        <w:pageBreakBefore w:val="0"/>
        <w:widowControl w:val="0"/>
        <w:kinsoku/>
        <w:wordWrap/>
        <w:overflowPunct/>
        <w:topLinePunct w:val="0"/>
        <w:autoSpaceDE/>
        <w:autoSpaceDN/>
        <w:bidi w:val="0"/>
        <w:adjustRightInd w:val="0"/>
        <w:snapToGrid w:val="0"/>
        <w:spacing w:line="540" w:lineRule="exact"/>
        <w:ind w:left="0" w:leftChars="0" w:right="0" w:rightChars="0" w:firstLine="640" w:firstLineChars="200"/>
        <w:textAlignment w:val="auto"/>
        <w:rPr>
          <w:rFonts w:hint="eastAsia" w:ascii="仿宋_GB2312" w:hAnsi="仿宋_GB2312" w:eastAsia="仿宋_GB2312" w:cs="仿宋_GB2312"/>
          <w:sz w:val="32"/>
          <w:lang w:val="en-US" w:eastAsia="zh-CN"/>
        </w:rPr>
      </w:pPr>
    </w:p>
    <w:p>
      <w:pPr>
        <w:keepNext w:val="0"/>
        <w:keepLines w:val="0"/>
        <w:pageBreakBefore w:val="0"/>
        <w:widowControl w:val="0"/>
        <w:kinsoku/>
        <w:wordWrap/>
        <w:overflowPunct/>
        <w:topLinePunct w:val="0"/>
        <w:autoSpaceDE/>
        <w:autoSpaceDN/>
        <w:bidi w:val="0"/>
        <w:adjustRightInd w:val="0"/>
        <w:snapToGrid w:val="0"/>
        <w:spacing w:line="540" w:lineRule="exact"/>
        <w:ind w:left="0" w:leftChars="0" w:right="0" w:rightChars="0" w:firstLine="640" w:firstLineChars="200"/>
        <w:textAlignment w:val="auto"/>
        <w:rPr>
          <w:rFonts w:hint="eastAsia" w:ascii="仿宋_GB2312" w:hAnsi="仿宋_GB2312" w:eastAsia="仿宋_GB2312" w:cs="仿宋_GB2312"/>
          <w:sz w:val="32"/>
          <w:lang w:val="en-US" w:eastAsia="zh-CN"/>
        </w:rPr>
      </w:pPr>
      <w:bookmarkStart w:id="5" w:name="_GoBack"/>
      <w:bookmarkEnd w:id="5"/>
    </w:p>
    <w:p>
      <w:pPr>
        <w:keepNext w:val="0"/>
        <w:keepLines w:val="0"/>
        <w:pageBreakBefore w:val="0"/>
        <w:widowControl w:val="0"/>
        <w:kinsoku/>
        <w:wordWrap/>
        <w:overflowPunct/>
        <w:topLinePunct w:val="0"/>
        <w:autoSpaceDE/>
        <w:autoSpaceDN/>
        <w:bidi w:val="0"/>
        <w:adjustRightInd w:val="0"/>
        <w:snapToGrid w:val="0"/>
        <w:spacing w:line="540" w:lineRule="exact"/>
        <w:ind w:left="0" w:leftChars="0" w:right="0" w:rightChars="0" w:firstLine="640" w:firstLineChars="200"/>
        <w:textAlignment w:val="auto"/>
        <w:rPr>
          <w:rFonts w:hint="eastAsia" w:ascii="仿宋_GB2312" w:hAnsi="仿宋_GB2312" w:eastAsia="仿宋_GB2312" w:cs="仿宋_GB2312"/>
          <w:sz w:val="32"/>
          <w:lang w:val="en-US" w:eastAsia="zh-CN"/>
        </w:rPr>
      </w:pPr>
    </w:p>
    <w:p>
      <w:pPr>
        <w:keepNext w:val="0"/>
        <w:keepLines w:val="0"/>
        <w:pageBreakBefore w:val="0"/>
        <w:widowControl w:val="0"/>
        <w:kinsoku/>
        <w:wordWrap/>
        <w:overflowPunct/>
        <w:topLinePunct w:val="0"/>
        <w:autoSpaceDE/>
        <w:autoSpaceDN/>
        <w:bidi w:val="0"/>
        <w:spacing w:line="540" w:lineRule="exact"/>
        <w:ind w:left="0" w:leftChars="0" w:right="105" w:rightChars="50" w:firstLine="5257" w:firstLineChars="1643"/>
        <w:jc w:val="both"/>
        <w:textAlignment w:val="auto"/>
        <w:rPr>
          <w:rFonts w:hint="eastAsia" w:ascii="仿宋_GB2312" w:eastAsia="仿宋_GB2312"/>
          <w:sz w:val="32"/>
        </w:rPr>
      </w:pPr>
      <w:bookmarkStart w:id="3" w:name="now"/>
      <w:r>
        <w:rPr>
          <w:rFonts w:hint="eastAsia" w:ascii="仿宋_GB2312" w:eastAsia="仿宋_GB2312"/>
          <w:sz w:val="32"/>
          <w:lang w:val="en-US" w:eastAsia="zh-CN"/>
        </w:rPr>
        <w:t>2021年9月22日</w:t>
      </w:r>
      <w:bookmarkEnd w:id="3"/>
      <w:r>
        <w:rPr>
          <w:rFonts w:hint="eastAsia" w:ascii="仿宋_GB2312" w:eastAsia="仿宋_GB2312"/>
          <w:sz w:val="32"/>
        </w:rPr>
        <w:t xml:space="preserve">   </w:t>
      </w:r>
    </w:p>
    <w:p>
      <w:pPr>
        <w:keepNext w:val="0"/>
        <w:keepLines w:val="0"/>
        <w:pageBreakBefore w:val="0"/>
        <w:widowControl w:val="0"/>
        <w:kinsoku/>
        <w:wordWrap/>
        <w:overflowPunct/>
        <w:topLinePunct w:val="0"/>
        <w:autoSpaceDE/>
        <w:autoSpaceDN/>
        <w:bidi w:val="0"/>
        <w:spacing w:line="540" w:lineRule="exact"/>
        <w:ind w:right="105" w:rightChars="50"/>
        <w:textAlignment w:val="auto"/>
        <w:rPr>
          <w:rFonts w:hint="eastAsia" w:ascii="仿宋_GB2312" w:eastAsia="仿宋_GB2312"/>
          <w:sz w:val="32"/>
        </w:rPr>
      </w:pPr>
      <w:r>
        <w:rPr>
          <w:rFonts w:ascii="仿宋_GB2312" w:eastAsia="仿宋_GB2312"/>
          <w:sz w:val="32"/>
          <w:szCs w:val="18"/>
        </w:rPr>
        <w:t xml:space="preserve"> </w:t>
      </w:r>
      <w:bookmarkStart w:id="4" w:name="fyr"/>
      <w:bookmarkEnd w:id="4"/>
      <w:r>
        <w:rPr>
          <w:rFonts w:hint="eastAsia" w:ascii="仿宋_GB2312" w:hAnsi="仿宋_GB2312" w:eastAsia="仿宋_GB2312" w:cs="仿宋_GB2312"/>
          <w:sz w:val="32"/>
          <w:szCs w:val="18"/>
        </w:rPr>
        <w:t>（联系单位及电话：天津市科学技术局，022-</w:t>
      </w:r>
      <w:r>
        <w:rPr>
          <w:rFonts w:hint="eastAsia" w:ascii="仿宋_GB2312" w:eastAsia="仿宋_GB2312"/>
          <w:sz w:val="32"/>
        </w:rPr>
        <w:t>58832835</w:t>
      </w:r>
      <w:r>
        <w:rPr>
          <w:rFonts w:hint="eastAsia" w:ascii="仿宋_GB2312" w:hAnsi="仿宋_GB2312" w:eastAsia="仿宋_GB2312" w:cs="仿宋_GB2312"/>
          <w:sz w:val="32"/>
          <w:szCs w:val="18"/>
        </w:rPr>
        <w:t>）</w:t>
      </w:r>
    </w:p>
    <w:p>
      <w:pPr>
        <w:spacing w:line="20" w:lineRule="exact"/>
        <w:ind w:right="1151" w:rightChars="548"/>
        <w:rPr>
          <w:rFonts w:hint="eastAsia"/>
        </w:rPr>
      </w:pPr>
    </w:p>
    <w:sectPr>
      <w:headerReference r:id="rId5" w:type="first"/>
      <w:footerReference r:id="rId8" w:type="first"/>
      <w:headerReference r:id="rId3" w:type="default"/>
      <w:footerReference r:id="rId6" w:type="default"/>
      <w:headerReference r:id="rId4" w:type="even"/>
      <w:footerReference r:id="rId7" w:type="even"/>
      <w:pgSz w:w="11906" w:h="16838"/>
      <w:pgMar w:top="2098" w:right="1361" w:bottom="1985" w:left="1474"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华文中宋">
    <w:altName w:val="汉仪中宋简"/>
    <w:panose1 w:val="02010600040101010101"/>
    <w:charset w:val="86"/>
    <w:family w:val="auto"/>
    <w:pitch w:val="default"/>
    <w:sig w:usb0="00000000" w:usb1="00000000" w:usb2="00000000" w:usb3="00000000" w:csb0="0004009F" w:csb1="DFD70000"/>
  </w:font>
  <w:font w:name="汉仪中宋简">
    <w:panose1 w:val="02010600000101010101"/>
    <w:charset w:val="86"/>
    <w:family w:val="auto"/>
    <w:pitch w:val="default"/>
    <w:sig w:usb0="00000001" w:usb1="080E0800" w:usb2="00000002"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separate"/>
    </w:r>
    <w:r>
      <w:rPr>
        <w:rStyle w:val="9"/>
      </w:rPr>
      <w:t>2</w:t>
    </w:r>
    <w:r>
      <w:rPr>
        <w:rStyle w:val="9"/>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end"/>
    </w:r>
  </w:p>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dit="readOnly" w:enforcement="0"/>
  <w:defaultTabStop w:val="425"/>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8725F"/>
    <w:rsid w:val="00116DAE"/>
    <w:rsid w:val="00151656"/>
    <w:rsid w:val="00160D66"/>
    <w:rsid w:val="0018011C"/>
    <w:rsid w:val="00181F02"/>
    <w:rsid w:val="001A7225"/>
    <w:rsid w:val="001F61E3"/>
    <w:rsid w:val="002371A3"/>
    <w:rsid w:val="00261F6E"/>
    <w:rsid w:val="00272F04"/>
    <w:rsid w:val="00272F5E"/>
    <w:rsid w:val="00296F01"/>
    <w:rsid w:val="002B29B1"/>
    <w:rsid w:val="002C1912"/>
    <w:rsid w:val="002F0464"/>
    <w:rsid w:val="002F2BA0"/>
    <w:rsid w:val="00307EB1"/>
    <w:rsid w:val="003308ED"/>
    <w:rsid w:val="00354A16"/>
    <w:rsid w:val="00372068"/>
    <w:rsid w:val="00375D6E"/>
    <w:rsid w:val="00382172"/>
    <w:rsid w:val="004277E8"/>
    <w:rsid w:val="00460BAF"/>
    <w:rsid w:val="004C2F93"/>
    <w:rsid w:val="0052525D"/>
    <w:rsid w:val="00575302"/>
    <w:rsid w:val="0059759C"/>
    <w:rsid w:val="005B7C6A"/>
    <w:rsid w:val="005D25F2"/>
    <w:rsid w:val="005E0C68"/>
    <w:rsid w:val="005E7285"/>
    <w:rsid w:val="005F2062"/>
    <w:rsid w:val="005F5E66"/>
    <w:rsid w:val="00663555"/>
    <w:rsid w:val="007616B6"/>
    <w:rsid w:val="007746FD"/>
    <w:rsid w:val="007B2223"/>
    <w:rsid w:val="007D7D3A"/>
    <w:rsid w:val="007E1B8B"/>
    <w:rsid w:val="008155F9"/>
    <w:rsid w:val="00821E10"/>
    <w:rsid w:val="008222BF"/>
    <w:rsid w:val="00843262"/>
    <w:rsid w:val="00883F64"/>
    <w:rsid w:val="00895F09"/>
    <w:rsid w:val="00917F65"/>
    <w:rsid w:val="00930E75"/>
    <w:rsid w:val="00953B90"/>
    <w:rsid w:val="00982E66"/>
    <w:rsid w:val="009A0C11"/>
    <w:rsid w:val="009A5A86"/>
    <w:rsid w:val="009F568A"/>
    <w:rsid w:val="00A01DE8"/>
    <w:rsid w:val="00A03B4F"/>
    <w:rsid w:val="00AE0062"/>
    <w:rsid w:val="00B21A65"/>
    <w:rsid w:val="00B32F4D"/>
    <w:rsid w:val="00B67BF0"/>
    <w:rsid w:val="00B96B7B"/>
    <w:rsid w:val="00C16116"/>
    <w:rsid w:val="00C40842"/>
    <w:rsid w:val="00C559AE"/>
    <w:rsid w:val="00CC5ACA"/>
    <w:rsid w:val="00CD3DDD"/>
    <w:rsid w:val="00CD5AEB"/>
    <w:rsid w:val="00D07119"/>
    <w:rsid w:val="00D47E88"/>
    <w:rsid w:val="00DC2D37"/>
    <w:rsid w:val="00E00CB1"/>
    <w:rsid w:val="00E20115"/>
    <w:rsid w:val="00E81C98"/>
    <w:rsid w:val="00E87832"/>
    <w:rsid w:val="00F20A91"/>
    <w:rsid w:val="00F34F3B"/>
    <w:rsid w:val="00F80197"/>
    <w:rsid w:val="02950A43"/>
    <w:rsid w:val="05FB352C"/>
    <w:rsid w:val="062C73BA"/>
    <w:rsid w:val="0F415A30"/>
    <w:rsid w:val="1A1A2EA1"/>
    <w:rsid w:val="1BE3569F"/>
    <w:rsid w:val="20FE4F37"/>
    <w:rsid w:val="22666FCA"/>
    <w:rsid w:val="23957D52"/>
    <w:rsid w:val="265833FB"/>
    <w:rsid w:val="2A106D0B"/>
    <w:rsid w:val="2DCA2874"/>
    <w:rsid w:val="377A2E5E"/>
    <w:rsid w:val="385C0DBD"/>
    <w:rsid w:val="3A57702C"/>
    <w:rsid w:val="447E3320"/>
    <w:rsid w:val="45CB5298"/>
    <w:rsid w:val="4B30475B"/>
    <w:rsid w:val="4CA33CB0"/>
    <w:rsid w:val="4D14258D"/>
    <w:rsid w:val="4F843BDE"/>
    <w:rsid w:val="57073EC0"/>
    <w:rsid w:val="59C6063C"/>
    <w:rsid w:val="63E612D4"/>
    <w:rsid w:val="693053CC"/>
    <w:rsid w:val="6AB50BAB"/>
    <w:rsid w:val="6CA056C1"/>
    <w:rsid w:val="6D957ABF"/>
    <w:rsid w:val="7312333B"/>
    <w:rsid w:val="75561D3A"/>
    <w:rsid w:val="7952225A"/>
    <w:rsid w:val="7BFD0692"/>
    <w:rsid w:val="7D174045"/>
    <w:rsid w:val="7D906DB7"/>
    <w:rsid w:val="7DFD50D0"/>
    <w:rsid w:val="7E674295"/>
    <w:rsid w:val="BF9F8CE5"/>
    <w:rsid w:val="D7EF6FBD"/>
    <w:rsid w:val="FEDC1A4E"/>
    <w:rsid w:val="FFFF304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qFormat/>
    <w:uiPriority w:val="0"/>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0"/>
    <w:pPr>
      <w:jc w:val="center"/>
    </w:pPr>
    <w:rPr>
      <w:rFonts w:ascii="宋体"/>
      <w:b/>
      <w:bCs/>
      <w:sz w:val="44"/>
    </w:rPr>
  </w:style>
  <w:style w:type="paragraph" w:styleId="3">
    <w:name w:val="Date"/>
    <w:basedOn w:val="1"/>
    <w:next w:val="1"/>
    <w:semiHidden/>
    <w:qFormat/>
    <w:uiPriority w:val="0"/>
    <w:pPr>
      <w:ind w:left="100" w:leftChars="2500"/>
    </w:pPr>
    <w:rPr>
      <w:rFonts w:ascii="仿宋_GB2312" w:eastAsia="仿宋_GB2312"/>
      <w:sz w:val="32"/>
    </w:rPr>
  </w:style>
  <w:style w:type="paragraph" w:styleId="4">
    <w:name w:val="footer"/>
    <w:basedOn w:val="1"/>
    <w:link w:val="11"/>
    <w:semiHidden/>
    <w:unhideWhenUsed/>
    <w:qFormat/>
    <w:uiPriority w:val="99"/>
    <w:pPr>
      <w:tabs>
        <w:tab w:val="center" w:pos="4153"/>
        <w:tab w:val="right" w:pos="8306"/>
      </w:tabs>
      <w:snapToGrid w:val="0"/>
      <w:jc w:val="left"/>
    </w:pPr>
    <w:rPr>
      <w:sz w:val="18"/>
      <w:szCs w:val="18"/>
    </w:rPr>
  </w:style>
  <w:style w:type="paragraph" w:styleId="5">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9">
    <w:name w:val="page number"/>
    <w:basedOn w:val="8"/>
    <w:qFormat/>
    <w:uiPriority w:val="0"/>
  </w:style>
  <w:style w:type="character" w:customStyle="1" w:styleId="10">
    <w:name w:val=" Char Char1"/>
    <w:basedOn w:val="8"/>
    <w:link w:val="5"/>
    <w:semiHidden/>
    <w:qFormat/>
    <w:uiPriority w:val="99"/>
    <w:rPr>
      <w:kern w:val="2"/>
      <w:sz w:val="18"/>
      <w:szCs w:val="18"/>
    </w:rPr>
  </w:style>
  <w:style w:type="character" w:customStyle="1" w:styleId="11">
    <w:name w:val=" Char Char"/>
    <w:basedOn w:val="8"/>
    <w:link w:val="4"/>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spice</Company>
  <Pages>5</Pages>
  <Words>341</Words>
  <Characters>1948</Characters>
  <Lines>16</Lines>
  <Paragraphs>4</Paragraphs>
  <TotalTime>0</TotalTime>
  <ScaleCrop>false</ScaleCrop>
  <LinksUpToDate>false</LinksUpToDate>
  <CharactersWithSpaces>2285</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2021-04-07T03:49:00Z</dcterms:created>
  <dc:creator>wjc</dc:creator>
  <cp:lastModifiedBy>文字审修</cp:lastModifiedBy>
  <dcterms:modified xsi:type="dcterms:W3CDTF">2022-02-22T13:19:55Z</dcterms:modified>
  <dc:title>各区县委办局办公室：</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ies>
</file>