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对市十七届人大五次会议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第0469号建议的落实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105" w:rightChars="50"/>
        <w:textAlignment w:val="auto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刘正先代表</w:t>
      </w:r>
      <w:bookmarkEnd w:id="1"/>
      <w:r>
        <w:rPr>
          <w:rFonts w:eastAsia="仿宋_GB2312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您提出的“关于加强环天南大知识创新集聚区建设的建议”，经会同市人力社保局、市教委、南开区研究答复如下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一、促进高校成果转移转化建设大学科技园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我市出台大学科技园指导意见和三年行动计划，将天津大学科技园南开园、南开大学科技园南开园列入重点建设园区，持续推进南开区与天津大学、南开大学共同制定工作方案，利用大学周边闲置楼宇建设大学科技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两个园区依托天津大学、南开大学优势特色学科资源，将科教智力资源与市场创新资源紧密结合，打造创新资源集成、科技成果转化、科技创业孵化、创新人才培养平台基地。“十四五”期间，将科技园打造成为人才、技术、资本、信息等创新要素集聚，实现大学和区域融合发展的高校成果转化“首站”和区域创新创业的“核心孵化园”，成为自主创新重要源头和原始创新主要策源地战略支点，成为天津市新动能引育的重要赋能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目前，天津大学、南开大学均成立大学科技园建设工作领导小组或工作专班，并与南开区签订了大学科技园建设合作框架协议；南开区将天津大学科技园南开园、南开大学科技园南开园建设工作纳入区“十四五”规划，并已起草制定有关大学科技园支持政策；已完成天津大学、南开大学科技园南开园一期选址建设，为大学校区、科技园区和公共社区“三区联动”的创新创业提供承载空间；以市场化机制成立大学科技园南开园运营公司，形成以“硬科技+软服务”为特色的智能服务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二、打造“市区两级科技成果转移转化服务平台”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为推动环天南大知识创新圈建设，建成“市区两级科技成果转移转化体系服务平台”（天津市科技成果展示交易中心），平台于2021年4月正式投入运营。该中心以市场化方式实现科技成果展示、交易、服务三大功能，提供线上线下结合的科技成果转化全链条服务，集中展示我市近年来科技创新、成果转化、智能科技、生物医药等领域的近300项有代表性的先进科技成果，并通过天津科技成果网线上平台提供十余万项科技成果查询对接、成果登记、科研众包、评估交易等服务。截至目前，已有来自北京、重庆等地的40多个团体来津对接业务，同时与京冀的13家机构在成果共享、资本互通、科技招商、人才培养等多方面达成合作意向，入驻展交中心技术转移机构达到180多家、技术经理人900多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三、支持南开区设立政府引导参股基金–北洋海棠创投基金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市科技局、南开区政府、市科融集团、天津大学校友会等相关单位，以市区两级政府引导资金参股形式成立南开区首支创投基金——北洋海棠创业投资基金，以投资天津大学优秀创业师生、校友、学校科技成果转化，及其他具有高成长性科技项目为主，基金规模1亿元人民币。运用多种市场化手段，发挥创投基金的杠杆和撬动作用，带动社会资本参与投资科技企业，引导资金流向初创期、成长期科技型企业和战略性新兴产业领域，不断增强“环天南大知识创新集聚区”金融市场活力，构建科技金融生态。目前，北洋海棠基金已投资“华芯智能”、“华来科技”等8个项目，投资总额达5050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北洋海棠作为天津大学首支创投基金落户南开，是落实南开区与天津大学全面战略合作协议，进一步加强南开区与天津大学区校合作的重要举措，对天津大学优秀科技项目落户南开有积极推动作用。南开区政府财政资金以市场化手段参股北洋海棠基金，拓展了政府资金科技投入的方式，实现从无偿资助向市场化模式的转变，有利于提高财政资金使用效益。通过北洋海棠基金举办项目路演、创业大赛等各类创新活动，有助于提升南开区创新创业氛围，解决南开区部分初创期、成长期科技型中小企业融资的问题，助力企业快速成长。南开区将选派干部参与北洋海棠基金投资项目评价、投资管理等过程，有助于提高干部对优质项目的鉴别筛选能力，提升选商引资和服务企业的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四、激发创新创业活力推进创新机构建设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围绕天津市两所高校，在天南大校区附近建立南开区首个博士创业园。积极发挥人才对科技创新的引领作用，在启航智能科技大厦打造南开区博士创业园项目，项目建筑面积共8000平米，目前，已入驻企业35家，涵盖大数据、人工智能、生物医药、新能源新材料、生态环保等“硬科技”领域，团队核心研发人员均来自国内外知名大学，其中天津大学和南开大学团队占比达到70%，已逐渐成为我市聚焦博士、科技人才等高端创业人群的聚集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五、推动天南大海河实验室建设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南开大学、天津大学作为主要参与单位，筹建物质绿色创造与制造海河实验室。围绕新物质催化合成、高端化学品绿色制造、新能源转化存储物质创制、碳基能源绿色转化与利用开展创新研究。目前，已通过市教委组织的部门论证。将继续完善实验室场地条件，大力汇聚人才，不断完善实验室内部管理制度，争取早日挂牌启动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szCs w:val="18"/>
          <w:lang w:eastAsia="zh-CN"/>
        </w:rPr>
        <w:t>再次</w:t>
      </w:r>
      <w:r>
        <w:rPr>
          <w:rFonts w:hint="eastAsia" w:ascii="仿宋_GB2312" w:eastAsia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eastAsia="仿宋_GB2312"/>
          <w:sz w:val="32"/>
          <w:szCs w:val="1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下一步，我们将按照市领导要求，将环天南大知识创新聚集区建设纳入我市大学科技园、海河实验室建设工作。通过大学科技园建设将科教资源优势更好地转化为产业优势，为我市高质量发展提供源头动力。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105" w:rightChars="50" w:firstLine="5257" w:firstLineChars="1643"/>
        <w:jc w:val="both"/>
        <w:textAlignment w:val="auto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>2021年9月22日</w:t>
      </w:r>
      <w:bookmarkEnd w:id="3"/>
      <w:r>
        <w:rPr>
          <w:rFonts w:hint="eastAsia" w:ascii="仿宋_GB2312" w:eastAsia="仿宋_GB2312"/>
          <w:sz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105" w:rightChars="50"/>
        <w:textAlignment w:val="auto"/>
        <w:rPr>
          <w:rFonts w:hint="default" w:ascii="仿宋_GB2312" w:eastAsia="仿宋_GB2312"/>
          <w:sz w:val="32"/>
          <w:lang w:val="en-US" w:eastAsia="zh-CN"/>
        </w:rPr>
      </w:pPr>
      <w:bookmarkStart w:id="4" w:name="fyr"/>
      <w:r>
        <w:rPr>
          <w:rFonts w:hint="eastAsia" w:ascii="仿宋_GB2312" w:eastAsia="仿宋_GB2312"/>
          <w:sz w:val="32"/>
          <w:szCs w:val="18"/>
          <w:lang w:val="en-US" w:eastAsia="zh-CN"/>
        </w:rPr>
        <w:t>并附附议人：巩金龙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58832867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right="1151" w:rightChars="548"/>
        <w:textAlignment w:val="auto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AF21C80"/>
    <w:rsid w:val="2DCA2874"/>
    <w:rsid w:val="36FF3C41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5FE6D151"/>
    <w:rsid w:val="63E612D4"/>
    <w:rsid w:val="693053CC"/>
    <w:rsid w:val="6AB50BAB"/>
    <w:rsid w:val="6CA056C1"/>
    <w:rsid w:val="6D957ABF"/>
    <w:rsid w:val="7312333B"/>
    <w:rsid w:val="75561D3A"/>
    <w:rsid w:val="76F7C93F"/>
    <w:rsid w:val="7952225A"/>
    <w:rsid w:val="7D174045"/>
    <w:rsid w:val="7D906DB7"/>
    <w:rsid w:val="7E674295"/>
    <w:rsid w:val="7FB9A1F8"/>
    <w:rsid w:val="7FBF6E95"/>
    <w:rsid w:val="7FEF4DF5"/>
    <w:rsid w:val="BAD23B9F"/>
    <w:rsid w:val="BDE30D69"/>
    <w:rsid w:val="E7FD7CAD"/>
    <w:rsid w:val="EDF77840"/>
    <w:rsid w:val="EFE661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2022-02-22T13:05:22Z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