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第0218号建议的落实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rPr>
          <w:rFonts w:eastAsia="仿宋_GB2312"/>
          <w:sz w:val="32"/>
        </w:rPr>
      </w:pPr>
      <w:bookmarkStart w:id="1" w:name="chenghu"/>
      <w:r>
        <w:rPr>
          <w:rFonts w:hint="eastAsia" w:eastAsia="仿宋_GB2312"/>
          <w:sz w:val="32"/>
          <w:lang w:val="en-US" w:eastAsia="zh-CN"/>
        </w:rPr>
        <w:t>白玫代表</w:t>
      </w:r>
      <w:bookmarkEnd w:id="1"/>
      <w:r>
        <w:rPr>
          <w:rFonts w:eastAsia="仿宋_GB2312"/>
          <w:sz w:val="32"/>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您提出的“关于“完善我市专业技术平台管理机制”的建议”，经会同市发展改革委、市工业和信息化局研究答复如下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一、推动海河实验室建设取得阶段成效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eastAsia="仿宋_GB2312"/>
          <w:sz w:val="32"/>
          <w:lang w:val="en-US" w:eastAsia="zh-CN"/>
        </w:rPr>
      </w:pPr>
      <w:r>
        <w:rPr>
          <w:rFonts w:hint="eastAsia" w:eastAsia="仿宋_GB2312"/>
          <w:sz w:val="32"/>
          <w:lang w:val="en-US" w:eastAsia="zh-CN"/>
        </w:rPr>
        <w:t>探索以科技创新促进产业发展、以产业发展倒逼科技创新的新机制，在信创、生物医药、化学化工等领域筹建海河实验室。围绕坚持优化生态、放权赋能、持续创新，力求最大程度调动科研人员、科研机构和有关合作方的“三个积极性”，努力实现“国内领先、天津特色”，制定了海河实验室体制机制顶层设计框架文件。海河实验室将聚焦国家战略和本市发展战略需求，围绕重大科学前沿、重大科技任务和大科学工程，开展战略性、前沿性、前瞻性、基础性、综合性科技创新活动，建设成为本市自主创新和原始创新的核心支点、引领产业发展的重要源头、科技资源共享的开放平台以及体制机制创新的试验平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二、稳步推进技术创新中心工作发挥辐射作用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依据《天津市技术创新中心建设实施方案》，重点围绕人工智能、合成生物学等前沿技术领域和智能制造、生物医药、新能源新材料等战略性新兴产业领域，布局建设8家技术创新中心，打造建设创新资源集聚、组织运行开放、治理结构多元的综合性产业技术创新平台。充分发挥技术创新中心职能作用，整合产业上下游创新资源，其中天津市区块链技术创新中心依托天津大学智能学部和郑纬民院士，联合引元汇合公司和九章科技公司，共同出资成立天津引元信息科技有限公司，开展区块链底层技术开发，探索开展“区块链+”模式，推动金融科技、汽车检测、数据筛选等领域创新发展；天津市细胞技术创新中心，依托药研院、学研所等科研机构，联合成立和创生物公司，依托发起单位的创新平台和人才队伍，开展细胞产业技术应用研发和检验检测等业务，支撑我市生物医药产业加快发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三、探索产业技术研究院多模式发展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依据《关于加快产业技术研究院建设发展的若干意见》和《天津市产业技术研究院认定与考核管理办法（试行）》有关政策，按照“行政区为管理主体、产研院为建设主体、市科技局为业务指导”的发展思路，着力打通技术到产业的“最后一公里”，充分发挥产业技术研究院聚集资源、技术供给、转化孵化、人才输送等方面的功能，衍生孵化企业总量超700家。同时发挥政策引导作用，截至目前已完成2021年度产业技术研究院认定与绩效考核的公开征集工作，进一步引导产业技术研究院良性发展。苏州医工所在津布局的天津国科医工科技发展有限公司，研制出国内第一个具有自主知识产权的医用三重四极杆质谱仪，依托该技术实现6500万元的转化收益，并引进山东威高集团在津注册合资公司，同时实现了技术收益、作价入股、以商招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四、加快大学科技园政策制定和建设</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落实市委、市政府有关指示精神，会同市教委牵头成立31家成员单位组成的工作专班，建立联络员沟通机制，全力推进大学科技园建设。持续对接科技部，了解国家政策和导向，统一思想，明确目标。制定出台指导意见和三年行动计划，提出我市大学科技园的总体思路、布局和任务安排，工作由顶层设计转入实质性建设阶段，确保我市大学科技园建设谋得实、对得上、推得动。市领导在全市大学科技园建设推动会上高度评价前期工作，推动有力、有活力、抓的实、成效明显。“双主体”联动共建，各高校均与所在区签署合作框架协议，并共同成立校区联合工作专班，专项推进大学科技园建设工作。目前，中国民航大学科技园、天津科技大学科技园、河北工业大学北辰园已开园，中医药大学科技园、西青大学科技园、天津工业大学科技园基本完成建设，即将开园。</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五、切实推动工程研究中心与工程实验室整合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eastAsia="仿宋_GB2312"/>
          <w:sz w:val="32"/>
          <w:lang w:val="en-US" w:eastAsia="zh-CN"/>
        </w:rPr>
      </w:pPr>
      <w:r>
        <w:rPr>
          <w:rFonts w:hint="eastAsia" w:eastAsia="仿宋_GB2312"/>
          <w:sz w:val="32"/>
          <w:lang w:val="en-US" w:eastAsia="zh-CN"/>
        </w:rPr>
        <w:t>按照国家总体部署，完成市级工程研究中心和工程实验室的整合工作。同时，在国家发展改革委的指导下，按照“减量提质”的要求，已完成第一批国家工程研究中心与国家工程实验室的优化整合工作。对研究方向发生重大变化、原有领域过宽或过窄、与新技术发展要求不适应的工程中心，加快进行调整、充实，完善技术方向；对方向领域近似、依托单位相同的工程研究中心，进行整合归并，实现减量提质。对于核心团队弱化、长期发展困难、已经完成历史使命、不符合新定位的工程中心，坚决予以撤销。</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eastAsia="仿宋_GB2312"/>
          <w:sz w:val="32"/>
          <w:lang w:val="en-US" w:eastAsia="zh-CN"/>
        </w:rPr>
      </w:pPr>
      <w:r>
        <w:rPr>
          <w:rFonts w:hint="eastAsia" w:ascii="仿宋_GB2312" w:eastAsia="仿宋_GB2312"/>
          <w:sz w:val="32"/>
          <w:szCs w:val="18"/>
          <w:lang w:eastAsia="zh-CN"/>
        </w:rPr>
        <w:t>再次</w:t>
      </w:r>
      <w:r>
        <w:rPr>
          <w:rFonts w:hint="eastAsia" w:ascii="仿宋_GB2312" w:eastAsia="仿宋_GB2312"/>
          <w:sz w:val="32"/>
          <w:szCs w:val="18"/>
        </w:rPr>
        <w:t>感谢您对科技工作的关心支持和提出的宝贵建议</w:t>
      </w:r>
      <w:r>
        <w:rPr>
          <w:rFonts w:hint="eastAsia" w:ascii="仿宋_GB2312" w:eastAsia="仿宋_GB2312"/>
          <w:sz w:val="32"/>
          <w:szCs w:val="18"/>
          <w:lang w:eastAsia="zh-CN"/>
        </w:rPr>
        <w:t>。</w:t>
      </w:r>
      <w:r>
        <w:rPr>
          <w:rFonts w:hint="eastAsia" w:eastAsia="仿宋_GB2312"/>
          <w:sz w:val="32"/>
          <w:lang w:val="en-US" w:eastAsia="zh-CN"/>
        </w:rPr>
        <w:t>下一步，按照有关政策要求，将持续完善我市创新平台的建设和管理工作。一是着眼国家重大战略需求和全市发展需要，加快海河实验室有关政策的制定出台，谋划布局建设一批海河实验室，培育国家实验室预备队。二是坚持“少而精”原则，有序组织开展技术创新中心建设，以关键技术研发为核心使命，产学研协同推动科技成果转移转化与产业化。三是多模式发展产业技术研究院，培育一批在工程技术开发、技术商品化、科技成果转化和企业衍生孵化等方面具有鲜明优势与特色的新型研发机构。四是制定我市大学科技园认定与绩效评价办法，完</w:t>
      </w:r>
      <w:r>
        <w:rPr>
          <w:rFonts w:hint="eastAsia" w:ascii="仿宋_GB2312" w:hAnsi="仿宋_GB2312" w:eastAsia="仿宋_GB2312" w:cs="仿宋_GB2312"/>
          <w:sz w:val="32"/>
          <w:lang w:val="en-US" w:eastAsia="zh-CN"/>
        </w:rPr>
        <w:t>成2021年</w:t>
      </w:r>
      <w:r>
        <w:rPr>
          <w:rFonts w:hint="eastAsia" w:eastAsia="仿宋_GB2312"/>
          <w:sz w:val="32"/>
          <w:lang w:val="en-US" w:eastAsia="zh-CN"/>
        </w:rPr>
        <w:t>度市级大学科技园认定工作，加快推动大学科技园的建设发展。五是持续开展第二批国家工程研究中心与国家工程实验室的优化整合工作。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eastAsia="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eastAsia="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default" w:eastAsia="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p>
    <w:p>
      <w:pPr>
        <w:spacing w:line="480" w:lineRule="exact"/>
        <w:ind w:right="105" w:rightChars="50"/>
        <w:jc w:val="right"/>
        <w:rPr>
          <w:rFonts w:hint="eastAsia" w:ascii="仿宋_GB2312" w:eastAsia="仿宋_GB2312"/>
          <w:sz w:val="32"/>
        </w:rPr>
      </w:pPr>
      <w:bookmarkStart w:id="5" w:name="_GoBack"/>
      <w:bookmarkEnd w:id="5"/>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textAlignment w:val="auto"/>
        <w:rPr>
          <w:rFonts w:hint="eastAsia" w:ascii="仿宋_GB2312" w:eastAsia="仿宋_GB2312"/>
          <w:sz w:val="32"/>
        </w:rPr>
      </w:pPr>
      <w:r>
        <w:rPr>
          <w:rFonts w:ascii="仿宋_GB2312" w:eastAsia="仿宋_GB2312"/>
          <w:sz w:val="32"/>
          <w:szCs w:val="18"/>
        </w:rPr>
        <w:t xml:space="preserve"> </w:t>
      </w:r>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58832829</w:t>
      </w:r>
      <w:r>
        <w:rPr>
          <w:rFonts w:hint="eastAsia" w:ascii="仿宋_GB2312" w:hAnsi="仿宋_GB2312" w:eastAsia="仿宋_GB2312" w:cs="仿宋_GB2312"/>
          <w:sz w:val="32"/>
          <w:szCs w:val="18"/>
        </w:rPr>
        <w:t>）</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2FF7026E"/>
    <w:rsid w:val="377A2E5E"/>
    <w:rsid w:val="385C0DBD"/>
    <w:rsid w:val="3A57702C"/>
    <w:rsid w:val="447E3320"/>
    <w:rsid w:val="45CB5298"/>
    <w:rsid w:val="4B30475B"/>
    <w:rsid w:val="4CA33CB0"/>
    <w:rsid w:val="4D14258D"/>
    <w:rsid w:val="4F843BDE"/>
    <w:rsid w:val="57073EC0"/>
    <w:rsid w:val="59C6063C"/>
    <w:rsid w:val="63E612D4"/>
    <w:rsid w:val="65CF4560"/>
    <w:rsid w:val="693053CC"/>
    <w:rsid w:val="6AB50BAB"/>
    <w:rsid w:val="6CA056C1"/>
    <w:rsid w:val="6D957ABF"/>
    <w:rsid w:val="7312333B"/>
    <w:rsid w:val="75561D3A"/>
    <w:rsid w:val="7952225A"/>
    <w:rsid w:val="7D174045"/>
    <w:rsid w:val="7D906DB7"/>
    <w:rsid w:val="7E674295"/>
    <w:rsid w:val="DFCF4F9D"/>
    <w:rsid w:val="EF3D29F7"/>
    <w:rsid w:val="FFBB19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2022-02-22T13:02:34Z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